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6D6A" w14:textId="430358F7" w:rsidR="008147AD" w:rsidRDefault="008147AD" w:rsidP="003152DD">
      <w:pPr>
        <w:rPr>
          <w:b/>
          <w:bCs/>
          <w:lang w:val="en-US"/>
        </w:rPr>
      </w:pPr>
      <w:r w:rsidRPr="008147AD">
        <w:rPr>
          <w:b/>
          <w:bCs/>
          <w:lang w:val="el-GR"/>
        </w:rPr>
        <w:t xml:space="preserve">Σχόλια για τις προτεινόμενες τροποποιήσεις στον </w:t>
      </w:r>
      <w:r w:rsidRPr="008147AD">
        <w:rPr>
          <w:b/>
          <w:bCs/>
          <w:lang w:val="el-GR"/>
        </w:rPr>
        <w:t>Περί Αγωγής και Εκπαίδευσης Παιδιών με Ειδικές Ανάγκες Νόμο 113(Ι)/1999</w:t>
      </w:r>
    </w:p>
    <w:p w14:paraId="0F683AA8" w14:textId="77777777" w:rsidR="00BE0917" w:rsidRPr="00BE0917" w:rsidRDefault="00BE0917" w:rsidP="003152DD">
      <w:pPr>
        <w:rPr>
          <w:b/>
          <w:bCs/>
          <w:lang w:val="en-US"/>
        </w:rPr>
      </w:pPr>
    </w:p>
    <w:p w14:paraId="6779E607" w14:textId="4A7A89BC" w:rsidR="00BE0917" w:rsidRDefault="00BE0917" w:rsidP="00BE0917">
      <w:pPr>
        <w:spacing w:after="0" w:line="240" w:lineRule="auto"/>
        <w:rPr>
          <w:b/>
          <w:bCs/>
          <w:lang w:val="en-US"/>
        </w:rPr>
      </w:pPr>
      <w:r>
        <w:rPr>
          <w:b/>
          <w:bCs/>
          <w:lang w:val="el-GR"/>
        </w:rPr>
        <w:t>Σιμώνη Συμεωνίδου</w:t>
      </w:r>
      <w:r>
        <w:rPr>
          <w:b/>
          <w:bCs/>
          <w:lang w:val="en-US"/>
        </w:rPr>
        <w:t xml:space="preserve"> </w:t>
      </w:r>
    </w:p>
    <w:p w14:paraId="6E0D3C5B" w14:textId="2C9EE9BE" w:rsidR="00BE0917" w:rsidRDefault="00BE0917" w:rsidP="00BE0917">
      <w:pPr>
        <w:spacing w:after="0" w:line="240" w:lineRule="auto"/>
        <w:rPr>
          <w:b/>
          <w:bCs/>
          <w:lang w:val="el-GR"/>
        </w:rPr>
      </w:pPr>
      <w:r>
        <w:rPr>
          <w:b/>
          <w:bCs/>
          <w:lang w:val="el-GR"/>
        </w:rPr>
        <w:t>Αναπληρώτρια Καθηγήτρια</w:t>
      </w:r>
    </w:p>
    <w:p w14:paraId="0CD17209" w14:textId="77777777" w:rsidR="00BE0917" w:rsidRPr="00583072" w:rsidRDefault="00BE0917" w:rsidP="00BE0917">
      <w:pPr>
        <w:spacing w:after="0" w:line="240" w:lineRule="auto"/>
        <w:rPr>
          <w:b/>
          <w:bCs/>
          <w:lang w:val="el-GR"/>
        </w:rPr>
      </w:pPr>
      <w:r>
        <w:rPr>
          <w:b/>
          <w:bCs/>
          <w:lang w:val="el-GR"/>
        </w:rPr>
        <w:t>Τμήμα Επιστημών της Αγωγής, Πανεπιστήμιο Κύπρου</w:t>
      </w:r>
    </w:p>
    <w:p w14:paraId="35D35A49" w14:textId="77777777" w:rsidR="00BE0917" w:rsidRPr="00BE0917" w:rsidRDefault="00BE0917" w:rsidP="003152DD">
      <w:pPr>
        <w:rPr>
          <w:b/>
          <w:bCs/>
          <w:lang w:val="el-GR"/>
        </w:rPr>
      </w:pPr>
    </w:p>
    <w:p w14:paraId="2EE47C2E" w14:textId="19F0BBF4" w:rsidR="003152DD" w:rsidRPr="008147AD" w:rsidRDefault="003152DD" w:rsidP="003152DD">
      <w:pPr>
        <w:rPr>
          <w:lang w:val="el-GR"/>
        </w:rPr>
      </w:pPr>
      <w:r w:rsidRPr="00F851A7">
        <w:rPr>
          <w:lang w:val="el-GR"/>
        </w:rPr>
        <w:t xml:space="preserve">Οι προτεινόμενες </w:t>
      </w:r>
      <w:r w:rsidR="00CB41B2">
        <w:rPr>
          <w:lang w:val="el-GR"/>
        </w:rPr>
        <w:t>τροποποιήσεις</w:t>
      </w:r>
      <w:r w:rsidRPr="00F851A7">
        <w:rPr>
          <w:lang w:val="el-GR"/>
        </w:rPr>
        <w:t xml:space="preserve"> στον Περί Αγωγής και Εκπαίδευσης Παιδιών με Ειδικές Ανάγκες Νόμο 113(Ι)/1999 και στους Κανονισμούς</w:t>
      </w:r>
      <w:r w:rsidR="00CB41B2">
        <w:rPr>
          <w:lang w:val="el-GR"/>
        </w:rPr>
        <w:t xml:space="preserve"> του, οι οποίες κατατέθηκαν από το Υπουργείο Παιδείας, Πολιτισμού και Νεολαίας για διαβούλευση, </w:t>
      </w:r>
      <w:r w:rsidRPr="00F851A7">
        <w:rPr>
          <w:lang w:val="el-GR"/>
        </w:rPr>
        <w:t>δεν αποτελούν βήμα εκσυγχρονισμού, αλλά οπισθοδρόμηση.</w:t>
      </w:r>
      <w:r w:rsidR="008147AD">
        <w:rPr>
          <w:lang w:val="el-GR"/>
        </w:rPr>
        <w:t xml:space="preserve"> Η συγκεκριμένη νομοθεσία αποτελεί σχεδόν αντιγραφή του 1981 </w:t>
      </w:r>
      <w:r w:rsidR="008147AD">
        <w:rPr>
          <w:lang w:val="en-US"/>
        </w:rPr>
        <w:t>Education</w:t>
      </w:r>
      <w:r w:rsidR="008147AD" w:rsidRPr="008147AD">
        <w:rPr>
          <w:lang w:val="el-GR"/>
        </w:rPr>
        <w:t xml:space="preserve"> </w:t>
      </w:r>
      <w:r w:rsidR="008147AD">
        <w:rPr>
          <w:lang w:val="en-US"/>
        </w:rPr>
        <w:t>Act</w:t>
      </w:r>
      <w:r w:rsidR="008147AD">
        <w:rPr>
          <w:lang w:val="el-GR"/>
        </w:rPr>
        <w:t xml:space="preserve"> της Αγγλίας, η οποία είχε ήδη κατακριθεί στη βιβλιογραφία πριν την ψήφιση του 113(Ι)/1999. </w:t>
      </w:r>
      <w:r w:rsidR="00C6778F">
        <w:rPr>
          <w:lang w:val="el-GR"/>
        </w:rPr>
        <w:t>Στο μεταξύ, η Κυπριακή Δημοκρατία όπως και η Ευρωπαϊκή Ένωση υπέγραψαν και κύρωσαν τη Σύμβαση του Οργανισμού Ηνωμένων Εθνών</w:t>
      </w:r>
      <w:r w:rsidR="0072165D" w:rsidRPr="0072165D">
        <w:rPr>
          <w:lang w:val="el-GR"/>
        </w:rPr>
        <w:t xml:space="preserve"> </w:t>
      </w:r>
      <w:r w:rsidR="0072165D">
        <w:rPr>
          <w:lang w:val="el-GR"/>
        </w:rPr>
        <w:t>–</w:t>
      </w:r>
      <w:r w:rsidR="0072165D" w:rsidRPr="0072165D">
        <w:rPr>
          <w:lang w:val="el-GR"/>
        </w:rPr>
        <w:t xml:space="preserve"> </w:t>
      </w:r>
      <w:r w:rsidR="0072165D">
        <w:rPr>
          <w:lang w:val="en-US"/>
        </w:rPr>
        <w:t>OHE</w:t>
      </w:r>
      <w:r w:rsidR="00C6778F">
        <w:rPr>
          <w:lang w:val="el-GR"/>
        </w:rPr>
        <w:t xml:space="preserve"> (</w:t>
      </w:r>
      <w:r w:rsidR="008A7356" w:rsidRPr="00BE0917">
        <w:rPr>
          <w:lang w:val="en-US"/>
        </w:rPr>
        <w:t>UN</w:t>
      </w:r>
      <w:r w:rsidR="00C6778F" w:rsidRPr="00BE0917">
        <w:rPr>
          <w:lang w:val="el-GR"/>
        </w:rPr>
        <w:t>, 2006).</w:t>
      </w:r>
      <w:r w:rsidR="006F1BDA">
        <w:rPr>
          <w:lang w:val="el-GR"/>
        </w:rPr>
        <w:t xml:space="preserve"> Στη Σύμβαση, αλλά και στο Γενικό Σχόλιο </w:t>
      </w:r>
      <w:proofErr w:type="spellStart"/>
      <w:r w:rsidR="006F1BDA">
        <w:rPr>
          <w:lang w:val="el-GR"/>
        </w:rPr>
        <w:t>Αρ</w:t>
      </w:r>
      <w:proofErr w:type="spellEnd"/>
      <w:r w:rsidR="006F1BDA">
        <w:rPr>
          <w:lang w:val="el-GR"/>
        </w:rPr>
        <w:t>. 4 (</w:t>
      </w:r>
      <w:r w:rsidR="008A7356">
        <w:rPr>
          <w:lang w:val="en-US"/>
        </w:rPr>
        <w:t>UN</w:t>
      </w:r>
      <w:r w:rsidR="008A7356" w:rsidRPr="008A7356">
        <w:rPr>
          <w:lang w:val="el-GR"/>
        </w:rPr>
        <w:t xml:space="preserve"> </w:t>
      </w:r>
      <w:r w:rsidR="008A7356">
        <w:rPr>
          <w:lang w:val="en-US"/>
        </w:rPr>
        <w:t>CRPD</w:t>
      </w:r>
      <w:r w:rsidR="008A7356" w:rsidRPr="008A7356">
        <w:rPr>
          <w:lang w:val="el-GR"/>
        </w:rPr>
        <w:t xml:space="preserve">, </w:t>
      </w:r>
      <w:r w:rsidR="006F1BDA">
        <w:rPr>
          <w:lang w:val="el-GR"/>
        </w:rPr>
        <w:t>2016) που ακολούθησε, επεξηγείται η έννοια της ενιαίας εκπαίδευσης και τα χαρακτηριστικά των συστημάτων ενιαίας εκπαίδευσης.</w:t>
      </w:r>
      <w:r w:rsidR="00C6778F">
        <w:rPr>
          <w:lang w:val="el-GR"/>
        </w:rPr>
        <w:t xml:space="preserve"> Μια σειρά κειμένων του ΟΗΕ και της Ευρωπαϊκής Ένωσης</w:t>
      </w:r>
      <w:r w:rsidR="006F1BDA">
        <w:rPr>
          <w:lang w:val="el-GR"/>
        </w:rPr>
        <w:t xml:space="preserve"> που έχουν δημοσιευθεί από τότε μέχρι σήμερα</w:t>
      </w:r>
      <w:r w:rsidR="00C6778F">
        <w:rPr>
          <w:lang w:val="el-GR"/>
        </w:rPr>
        <w:t xml:space="preserve"> εξηγούν με σαφήνεια την έννοια της ενιαίας εκπαίδευσης και την ανάγκη για μετάβαση από τα διαχωριστικά συστήματα εκπαίδευσης σε συστήματα ενιαίας εκπαίδευσης.</w:t>
      </w:r>
    </w:p>
    <w:p w14:paraId="0E7CB9EC" w14:textId="2076ED09" w:rsidR="003152DD" w:rsidRPr="00F851A7" w:rsidRDefault="003152DD" w:rsidP="003152DD">
      <w:pPr>
        <w:rPr>
          <w:lang w:val="el-GR"/>
        </w:rPr>
      </w:pPr>
      <w:r w:rsidRPr="00F851A7">
        <w:rPr>
          <w:lang w:val="el-GR"/>
        </w:rPr>
        <w:t>Σύμφωνα με τις καταληκτικές παρατηρήσεις της Ειδικής Επιτροπής του ΟΗΕ (2017)</w:t>
      </w:r>
      <w:r w:rsidR="00C6778F">
        <w:rPr>
          <w:lang w:val="el-GR"/>
        </w:rPr>
        <w:t xml:space="preserve"> προς την Κυπριακή Δημοκρατία:</w:t>
      </w:r>
      <w:r w:rsidRPr="00F851A7">
        <w:rPr>
          <w:lang w:val="el-GR"/>
        </w:rPr>
        <w:t xml:space="preserve"> </w:t>
      </w:r>
    </w:p>
    <w:p w14:paraId="61F5489B" w14:textId="4559BF28" w:rsidR="003152DD" w:rsidRPr="0072165D" w:rsidRDefault="003152DD" w:rsidP="003152DD">
      <w:pPr>
        <w:ind w:left="720"/>
        <w:rPr>
          <w:lang w:val="el-GR"/>
        </w:rPr>
      </w:pPr>
      <w:r w:rsidRPr="00F851A7">
        <w:rPr>
          <w:lang w:val="el-GR"/>
        </w:rPr>
        <w:t xml:space="preserve">«Η Επιτροπή εκφράζει βαθιά ανησυχία για την απουσία ενός σαφούς και εφαρμοζόμενου πλαισίου ενιαίας εκπαίδευσης στα γενικά σχολεία εκπαίδευσης, όπως αυτό προβλέπεται στην εθνική νομοθεσία. Εκφράζει επίσης ανησυχία για το γεγονός ότι η διαχωριστική εκπαίδευση εξακολουθεί να είναι εδραιωμένη στο εκπαιδευτικό σύστημα, κάτι που συχνά αντικατοπτρίζεται και στις στάσεις των εκπαιδευτικών και άλλων συναφών επαγγελματιών». </w:t>
      </w:r>
      <w:r w:rsidR="0072165D" w:rsidRPr="0072165D">
        <w:rPr>
          <w:lang w:val="el-GR"/>
        </w:rPr>
        <w:t>(</w:t>
      </w:r>
      <w:r w:rsidR="0072165D">
        <w:rPr>
          <w:lang w:val="el-GR"/>
        </w:rPr>
        <w:t>μετάφραση δική μου)</w:t>
      </w:r>
    </w:p>
    <w:p w14:paraId="1148AC23" w14:textId="77777777" w:rsidR="00C6778F" w:rsidRDefault="003152DD" w:rsidP="003152DD">
      <w:pPr>
        <w:rPr>
          <w:lang w:val="el-GR"/>
        </w:rPr>
      </w:pPr>
      <w:r w:rsidRPr="00F851A7">
        <w:rPr>
          <w:lang w:val="el-GR"/>
        </w:rPr>
        <w:t xml:space="preserve">Σε αυτή τη χρονική στιγμή, </w:t>
      </w:r>
      <w:r w:rsidR="008147AD">
        <w:rPr>
          <w:lang w:val="el-GR"/>
        </w:rPr>
        <w:t xml:space="preserve">η Κυπριακή Δημοκρατία </w:t>
      </w:r>
      <w:r w:rsidRPr="00F851A7">
        <w:rPr>
          <w:lang w:val="el-GR"/>
        </w:rPr>
        <w:t xml:space="preserve">χρειαζόταν μια νομοθεσία που να καθορίζει το πλαίσιο στήριξης </w:t>
      </w:r>
      <w:r w:rsidRPr="008147AD">
        <w:rPr>
          <w:u w:val="single"/>
          <w:lang w:val="el-GR"/>
        </w:rPr>
        <w:t>όλων των παιδιών</w:t>
      </w:r>
      <w:r w:rsidRPr="00F851A7">
        <w:rPr>
          <w:lang w:val="el-GR"/>
        </w:rPr>
        <w:t xml:space="preserve"> στο γενικό σχολείο, με σαφείς περιγραφές των υποστηρικτικών δομών και του ρόλου όλων των εμπλεκόμενων στην εκπαίδευση ώστε να επωφελούνται όλα τα παιδιά.</w:t>
      </w:r>
      <w:r>
        <w:rPr>
          <w:lang w:val="el-GR"/>
        </w:rPr>
        <w:t xml:space="preserve"> </w:t>
      </w:r>
    </w:p>
    <w:p w14:paraId="19EF5327" w14:textId="7FFC68AD" w:rsidR="003152DD" w:rsidRPr="00F851A7" w:rsidRDefault="003152DD" w:rsidP="003152DD">
      <w:pPr>
        <w:rPr>
          <w:lang w:val="el-GR"/>
        </w:rPr>
      </w:pPr>
      <w:r>
        <w:rPr>
          <w:lang w:val="el-GR"/>
        </w:rPr>
        <w:t xml:space="preserve">Η διατήρηση της φιλοσοφίας της υφιστάμενης νομοθεσίας, </w:t>
      </w:r>
      <w:r w:rsidR="008147AD">
        <w:rPr>
          <w:lang w:val="el-GR"/>
        </w:rPr>
        <w:t>η οποία διατηρεί δύο παράλληλα συστήματα (γενική και ειδική εκπαίδευση) και βασίζεται στην αξιολόγηση των παιδιών</w:t>
      </w:r>
      <w:r>
        <w:rPr>
          <w:lang w:val="el-GR"/>
        </w:rPr>
        <w:t xml:space="preserve"> με αναπηρία </w:t>
      </w:r>
      <w:r w:rsidR="00C6778F">
        <w:rPr>
          <w:lang w:val="el-GR"/>
        </w:rPr>
        <w:t xml:space="preserve">κυρίως </w:t>
      </w:r>
      <w:r>
        <w:rPr>
          <w:lang w:val="el-GR"/>
        </w:rPr>
        <w:t xml:space="preserve">για να </w:t>
      </w:r>
      <w:r w:rsidR="00C6778F">
        <w:rPr>
          <w:lang w:val="el-GR"/>
        </w:rPr>
        <w:t xml:space="preserve">αποφασιστεί ο χρόνος </w:t>
      </w:r>
      <w:r>
        <w:rPr>
          <w:lang w:val="el-GR"/>
        </w:rPr>
        <w:t>ειδική</w:t>
      </w:r>
      <w:r w:rsidR="00C6778F">
        <w:rPr>
          <w:lang w:val="el-GR"/>
        </w:rPr>
        <w:t>ς</w:t>
      </w:r>
      <w:r>
        <w:rPr>
          <w:lang w:val="el-GR"/>
        </w:rPr>
        <w:t xml:space="preserve"> εκπαίδευση</w:t>
      </w:r>
      <w:r w:rsidR="00C6778F">
        <w:rPr>
          <w:lang w:val="el-GR"/>
        </w:rPr>
        <w:t>ς που θα λάβουν</w:t>
      </w:r>
      <w:r>
        <w:rPr>
          <w:lang w:val="el-GR"/>
        </w:rPr>
        <w:t xml:space="preserve"> και</w:t>
      </w:r>
      <w:r w:rsidR="00C6778F">
        <w:rPr>
          <w:lang w:val="el-GR"/>
        </w:rPr>
        <w:t xml:space="preserve"> το πλαίσιο στο οποίο θα φοιτήσουν (ειδικό ή γενικό)</w:t>
      </w:r>
      <w:r>
        <w:rPr>
          <w:lang w:val="el-GR"/>
        </w:rPr>
        <w:t xml:space="preserve"> αποτελεί από μόνο του πρόβλημα.</w:t>
      </w:r>
    </w:p>
    <w:p w14:paraId="0D55C7C7" w14:textId="6406C1F5" w:rsidR="003152DD" w:rsidRPr="00F851A7" w:rsidRDefault="003152DD" w:rsidP="003152DD">
      <w:pPr>
        <w:rPr>
          <w:lang w:val="el-GR"/>
        </w:rPr>
      </w:pPr>
      <w:r w:rsidRPr="00F851A7">
        <w:rPr>
          <w:lang w:val="el-GR"/>
        </w:rPr>
        <w:lastRenderedPageBreak/>
        <w:t xml:space="preserve">Παρακάτω παρουσιάζονται συνοπτικά μερικές παρατηρήσεις για τις τροποποιήσεις που προτείνει το </w:t>
      </w:r>
      <w:r w:rsidR="00C6778F">
        <w:rPr>
          <w:lang w:val="el-GR"/>
        </w:rPr>
        <w:t>Υπουργείο Παιδείας, Αθλητισμού και Νεολαίας (</w:t>
      </w:r>
      <w:r w:rsidRPr="00F851A7">
        <w:rPr>
          <w:lang w:val="el-GR"/>
        </w:rPr>
        <w:t>ΥΠΑΝ</w:t>
      </w:r>
      <w:r w:rsidR="00C6778F">
        <w:rPr>
          <w:lang w:val="el-GR"/>
        </w:rPr>
        <w:t>)</w:t>
      </w:r>
      <w:r>
        <w:rPr>
          <w:lang w:val="el-GR"/>
        </w:rPr>
        <w:t>:</w:t>
      </w:r>
    </w:p>
    <w:p w14:paraId="2EDDD125" w14:textId="1AE8F508" w:rsidR="003152DD" w:rsidRPr="00DD6B4D" w:rsidRDefault="003152DD" w:rsidP="003152DD">
      <w:pPr>
        <w:pStyle w:val="ListParagraph"/>
        <w:numPr>
          <w:ilvl w:val="0"/>
          <w:numId w:val="1"/>
        </w:numPr>
        <w:rPr>
          <w:lang w:val="el-GR"/>
        </w:rPr>
      </w:pPr>
      <w:r w:rsidRPr="00DD6B4D">
        <w:rPr>
          <w:lang w:val="el-GR"/>
        </w:rPr>
        <w:t>Η προτεινόμενη τροποποίηση του όρου «παιδί με ειδικές ανάγκες» σε «παιδί με αναπηρία και ειδικές εκπαιδευτικές ανάγκες» δεν αποτελεί θετική εξέλιξη. Ο όρος αυτός έχει υιοθετηθεί στην Αγγλία και ήδη έχει κατακ</w:t>
      </w:r>
      <w:r w:rsidRPr="00BE0917">
        <w:rPr>
          <w:lang w:val="el-GR"/>
        </w:rPr>
        <w:t>ριθεί στη βιβλιογραφία</w:t>
      </w:r>
      <w:r w:rsidR="006F1BDA" w:rsidRPr="00BE0917">
        <w:rPr>
          <w:lang w:val="el-GR"/>
        </w:rPr>
        <w:t xml:space="preserve"> (</w:t>
      </w:r>
      <w:r w:rsidR="006F1BDA" w:rsidRPr="00BE0917">
        <w:rPr>
          <w:lang w:val="en-US"/>
        </w:rPr>
        <w:t>Rix</w:t>
      </w:r>
      <w:r w:rsidRPr="00BE0917">
        <w:rPr>
          <w:lang w:val="el-GR"/>
        </w:rPr>
        <w:t>.</w:t>
      </w:r>
      <w:r w:rsidRPr="00DD6B4D">
        <w:rPr>
          <w:lang w:val="el-GR"/>
        </w:rPr>
        <w:t xml:space="preserve"> </w:t>
      </w:r>
      <w:r w:rsidR="00BE0917" w:rsidRPr="00BE0917">
        <w:rPr>
          <w:lang w:val="el-GR"/>
        </w:rPr>
        <w:t xml:space="preserve">2023). </w:t>
      </w:r>
      <w:r w:rsidRPr="00DD6B4D">
        <w:rPr>
          <w:lang w:val="el-GR"/>
        </w:rPr>
        <w:t>Επίσης, ο ορισμός που προτείνεται για τον όρο αυτό είναι σχεδόν ο ίδιος με τον ορισμό που ήδη υπάρχει στη</w:t>
      </w:r>
      <w:r w:rsidR="0072165D">
        <w:rPr>
          <w:lang w:val="el-GR"/>
        </w:rPr>
        <w:t>ν υφιστάμενη</w:t>
      </w:r>
      <w:r w:rsidRPr="00DD6B4D">
        <w:rPr>
          <w:lang w:val="el-GR"/>
        </w:rPr>
        <w:t xml:space="preserve"> νομοθεσία</w:t>
      </w:r>
      <w:r w:rsidR="0072165D">
        <w:rPr>
          <w:lang w:val="el-GR"/>
        </w:rPr>
        <w:t xml:space="preserve"> για το «παιδί με ειδικές ανάγκες»</w:t>
      </w:r>
      <w:r w:rsidRPr="00DD6B4D">
        <w:rPr>
          <w:lang w:val="el-GR"/>
        </w:rPr>
        <w:t xml:space="preserve">. Ο ορισμός είναι προβληματικός αφού τοποθετεί το «πρόβλημα» στο παιδί, αντί στο εκπαιδευτικό σύστημα.  </w:t>
      </w:r>
    </w:p>
    <w:p w14:paraId="0EAD4698" w14:textId="151FFB43" w:rsidR="003152DD" w:rsidRPr="00DD6B4D" w:rsidRDefault="003152DD" w:rsidP="003152DD">
      <w:pPr>
        <w:pStyle w:val="ListParagraph"/>
        <w:numPr>
          <w:ilvl w:val="0"/>
          <w:numId w:val="1"/>
        </w:numPr>
        <w:rPr>
          <w:lang w:val="el-GR"/>
        </w:rPr>
      </w:pPr>
      <w:r w:rsidRPr="00DD6B4D">
        <w:rPr>
          <w:lang w:val="el-GR"/>
        </w:rPr>
        <w:t xml:space="preserve">Η προτεινόμενη τροποποίηση τα παιδιά να επαναξιολογούνται μετά το τέλος της πρώτης τάξης θα οδηγήσει στον διαχωρισμό των παιδιών με την αιτιολόγηση ότι «δεν τα κατάφερε το παιδί να ανταπεξέλθει στη γενική τάξη». Αυτό τεκμηριώνεται και σε </w:t>
      </w:r>
      <w:r w:rsidR="00A807AB">
        <w:rPr>
          <w:lang w:val="el-GR"/>
        </w:rPr>
        <w:t xml:space="preserve">εκθέσεις </w:t>
      </w:r>
      <w:r w:rsidRPr="00DD6B4D">
        <w:rPr>
          <w:lang w:val="el-GR"/>
        </w:rPr>
        <w:t xml:space="preserve">της </w:t>
      </w:r>
      <w:r w:rsidRPr="00A807AB">
        <w:rPr>
          <w:lang w:val="el-GR"/>
        </w:rPr>
        <w:t>Επιτρόπου Διοικήσεως</w:t>
      </w:r>
      <w:r w:rsidR="00A807AB" w:rsidRPr="00A807AB">
        <w:rPr>
          <w:lang w:val="el-GR"/>
        </w:rPr>
        <w:t xml:space="preserve"> και της Επιτρόπου Προστασίας των Δικαιωμάτων του Παιδιού</w:t>
      </w:r>
      <w:r w:rsidRPr="00A807AB">
        <w:rPr>
          <w:lang w:val="el-GR"/>
        </w:rPr>
        <w:t xml:space="preserve"> </w:t>
      </w:r>
      <w:r w:rsidR="006F1BDA" w:rsidRPr="00A807AB">
        <w:rPr>
          <w:lang w:val="el-GR"/>
        </w:rPr>
        <w:t>(</w:t>
      </w:r>
      <w:r w:rsidR="00A807AB" w:rsidRPr="00A807AB">
        <w:rPr>
          <w:lang w:val="el-GR"/>
        </w:rPr>
        <w:t xml:space="preserve">δες </w:t>
      </w:r>
      <w:r w:rsidR="006F1BDA" w:rsidRPr="00A807AB">
        <w:rPr>
          <w:lang w:val="en-US"/>
        </w:rPr>
        <w:t>Symeonidou</w:t>
      </w:r>
      <w:r w:rsidR="006F1BDA" w:rsidRPr="00A807AB">
        <w:rPr>
          <w:lang w:val="el-GR"/>
        </w:rPr>
        <w:t xml:space="preserve"> &amp; </w:t>
      </w:r>
      <w:r w:rsidR="006F1BDA" w:rsidRPr="00A807AB">
        <w:rPr>
          <w:lang w:val="en-US"/>
        </w:rPr>
        <w:t>Mavrou</w:t>
      </w:r>
      <w:r w:rsidR="006F1BDA" w:rsidRPr="00A807AB">
        <w:rPr>
          <w:lang w:val="el-GR"/>
        </w:rPr>
        <w:t>, 2020)</w:t>
      </w:r>
      <w:r w:rsidRPr="00A807AB">
        <w:rPr>
          <w:lang w:val="el-GR"/>
        </w:rPr>
        <w:t>.</w:t>
      </w:r>
    </w:p>
    <w:p w14:paraId="2879FA01" w14:textId="01A5DFAC" w:rsidR="003152DD" w:rsidRPr="00DD6B4D" w:rsidRDefault="003152DD" w:rsidP="003152DD">
      <w:pPr>
        <w:pStyle w:val="ListParagraph"/>
        <w:numPr>
          <w:ilvl w:val="0"/>
          <w:numId w:val="1"/>
        </w:numPr>
        <w:rPr>
          <w:lang w:val="el-GR"/>
        </w:rPr>
      </w:pPr>
      <w:r w:rsidRPr="00DD6B4D">
        <w:rPr>
          <w:lang w:val="el-GR"/>
        </w:rPr>
        <w:t>Οι προτεινόμενες μετονομασίες των διαχωριστικών δομών δεν αλλάζουν τον χαρακτήρα τους</w:t>
      </w:r>
      <w:r w:rsidRPr="00A807AB">
        <w:rPr>
          <w:lang w:val="el-GR"/>
        </w:rPr>
        <w:t>. Στη βιβλιογραφία ήδη</w:t>
      </w:r>
      <w:r w:rsidRPr="00DD6B4D">
        <w:rPr>
          <w:lang w:val="el-GR"/>
        </w:rPr>
        <w:t xml:space="preserve"> γίνεται αναφορά για τον τρόπο με τον οποίο διαχωριστικές δομές και συστήματα παρουσιάζονται ως συστήματα ενιαίας εκπαίδευσης, χωρίς στην πραγματικότητα να είναι</w:t>
      </w:r>
      <w:r w:rsidR="00A807AB" w:rsidRPr="00A807AB">
        <w:rPr>
          <w:lang w:val="el-GR"/>
        </w:rPr>
        <w:t xml:space="preserve"> (</w:t>
      </w:r>
      <w:r w:rsidR="00A807AB">
        <w:rPr>
          <w:lang w:val="en-US"/>
        </w:rPr>
        <w:t>Slee</w:t>
      </w:r>
      <w:r w:rsidR="00A807AB" w:rsidRPr="00A807AB">
        <w:rPr>
          <w:lang w:val="el-GR"/>
        </w:rPr>
        <w:t>, 2011)</w:t>
      </w:r>
      <w:r w:rsidRPr="00DD6B4D">
        <w:rPr>
          <w:lang w:val="el-GR"/>
        </w:rPr>
        <w:t>. Για παράδειγμα, η μετονομασία των «ειδικών μονάδων» σε «προγράμματα ενισχυμένης στήριξης» δεν διασφαλίζει ότι το παιδί θα φοιτά τουλάχιστον κατά το 80% του μαθησιακού χρόνου στη γενική τάξη και μόνο κατά το 20% εκτός τάξης, σύμφωνα με τον ορισμό του</w:t>
      </w:r>
      <w:r w:rsidR="00BE0917" w:rsidRPr="00BE0917">
        <w:rPr>
          <w:lang w:val="el-GR"/>
        </w:rPr>
        <w:t xml:space="preserve"> πλαισίου ενιαίας εκπαίδευσης</w:t>
      </w:r>
      <w:r w:rsidRPr="00BE0917">
        <w:rPr>
          <w:lang w:val="el-GR"/>
        </w:rPr>
        <w:t xml:space="preserve"> </w:t>
      </w:r>
      <w:r w:rsidR="0072165D">
        <w:rPr>
          <w:lang w:val="el-GR"/>
        </w:rPr>
        <w:t xml:space="preserve">του </w:t>
      </w:r>
      <w:r w:rsidRPr="00BE0917">
        <w:rPr>
          <w:lang w:val="en-US"/>
        </w:rPr>
        <w:t>European</w:t>
      </w:r>
      <w:r w:rsidRPr="00BE0917">
        <w:rPr>
          <w:lang w:val="el-GR"/>
        </w:rPr>
        <w:t xml:space="preserve"> </w:t>
      </w:r>
      <w:r w:rsidRPr="00BE0917">
        <w:rPr>
          <w:lang w:val="en-US"/>
        </w:rPr>
        <w:t>Agency</w:t>
      </w:r>
      <w:r w:rsidRPr="00BE0917">
        <w:rPr>
          <w:lang w:val="el-GR"/>
        </w:rPr>
        <w:t xml:space="preserve"> </w:t>
      </w:r>
      <w:r w:rsidRPr="00BE0917">
        <w:rPr>
          <w:lang w:val="en-US"/>
        </w:rPr>
        <w:t>for</w:t>
      </w:r>
      <w:r w:rsidRPr="00BE0917">
        <w:rPr>
          <w:lang w:val="el-GR"/>
        </w:rPr>
        <w:t xml:space="preserve"> </w:t>
      </w:r>
      <w:r w:rsidRPr="00BE0917">
        <w:rPr>
          <w:lang w:val="en-US"/>
        </w:rPr>
        <w:t>Special</w:t>
      </w:r>
      <w:r w:rsidRPr="00BE0917">
        <w:rPr>
          <w:lang w:val="el-GR"/>
        </w:rPr>
        <w:t xml:space="preserve"> </w:t>
      </w:r>
      <w:r w:rsidRPr="00BE0917">
        <w:rPr>
          <w:lang w:val="en-US"/>
        </w:rPr>
        <w:t>Needs</w:t>
      </w:r>
      <w:r w:rsidRPr="00BE0917">
        <w:rPr>
          <w:lang w:val="el-GR"/>
        </w:rPr>
        <w:t xml:space="preserve"> </w:t>
      </w:r>
      <w:r w:rsidRPr="00BE0917">
        <w:rPr>
          <w:lang w:val="en-US"/>
        </w:rPr>
        <w:t>and</w:t>
      </w:r>
      <w:r w:rsidRPr="00BE0917">
        <w:rPr>
          <w:lang w:val="el-GR"/>
        </w:rPr>
        <w:t xml:space="preserve"> </w:t>
      </w:r>
      <w:r w:rsidRPr="00BE0917">
        <w:rPr>
          <w:lang w:val="en-US"/>
        </w:rPr>
        <w:t>Inclusive</w:t>
      </w:r>
      <w:r w:rsidRPr="00BE0917">
        <w:rPr>
          <w:lang w:val="el-GR"/>
        </w:rPr>
        <w:t xml:space="preserve"> </w:t>
      </w:r>
      <w:r w:rsidRPr="00BE0917">
        <w:rPr>
          <w:lang w:val="en-US"/>
        </w:rPr>
        <w:t>Education</w:t>
      </w:r>
      <w:r w:rsidR="00BE0917">
        <w:rPr>
          <w:lang w:val="el-GR"/>
        </w:rPr>
        <w:t xml:space="preserve"> (2022)</w:t>
      </w:r>
      <w:r w:rsidRPr="00DD6B4D">
        <w:rPr>
          <w:lang w:val="el-GR"/>
        </w:rPr>
        <w:t>. Δεν διασφαλίζει επίσης την ποιότητα της</w:t>
      </w:r>
      <w:r w:rsidRPr="00432BB0">
        <w:rPr>
          <w:lang w:val="el-GR"/>
        </w:rPr>
        <w:t xml:space="preserve"> </w:t>
      </w:r>
      <w:r>
        <w:rPr>
          <w:lang w:val="el-GR"/>
        </w:rPr>
        <w:t>μάθησης για πρόσβαση στο αναλυτικό πρόγραμμα ή τη</w:t>
      </w:r>
      <w:r w:rsidR="006F1BDA">
        <w:rPr>
          <w:lang w:val="el-GR"/>
        </w:rPr>
        <w:t xml:space="preserve">ν </w:t>
      </w:r>
      <w:r>
        <w:rPr>
          <w:lang w:val="el-GR"/>
        </w:rPr>
        <w:t>ποιότητα της</w:t>
      </w:r>
      <w:r w:rsidRPr="00DD6B4D">
        <w:rPr>
          <w:lang w:val="el-GR"/>
        </w:rPr>
        <w:t xml:space="preserve"> στήριξης που θα παρέχεται.</w:t>
      </w:r>
    </w:p>
    <w:p w14:paraId="6A78C876" w14:textId="5C07823D" w:rsidR="003152DD" w:rsidRPr="00DD6B4D" w:rsidRDefault="003152DD" w:rsidP="003152DD">
      <w:pPr>
        <w:pStyle w:val="ListParagraph"/>
        <w:numPr>
          <w:ilvl w:val="0"/>
          <w:numId w:val="1"/>
        </w:numPr>
        <w:rPr>
          <w:lang w:val="el-GR"/>
        </w:rPr>
      </w:pPr>
      <w:r w:rsidRPr="00DD6B4D">
        <w:rPr>
          <w:lang w:val="el-GR"/>
        </w:rPr>
        <w:t>Η προτεινόμενη αλλαγή του ρόλου των «ειδικών σχολείων» σε «υποστηρικτικές δομές» είναι επιφανειακή και δεν διασφαλίζει ότι τα ειδικά σχολεία θα παρέχουν την απαιτούμενη στήριξη στα γενικά σχολεία για αποτελεσματικότερη στήριξη όλων των παιδιών. Αν το σύστημα αξιολόγησης και τοποθέτησης παιδιών σε ειδικά-διαχωριστικά πλαίσια παραμείνει ως έχει, τα ειδικά σχολεία δεν θα έχουν τη δυνατότητα να προσφέρουν υποστήριξη στα γενικά σχολεία.</w:t>
      </w:r>
      <w:r>
        <w:rPr>
          <w:lang w:val="el-GR"/>
        </w:rPr>
        <w:t xml:space="preserve"> Η μετεξέλιξη των ειδικών σχολείων σε υποστηρικτικές δομές απαιτεί σχέδιο δράσης που θα έχει διάρκεια, </w:t>
      </w:r>
      <w:r w:rsidR="006F1BDA">
        <w:rPr>
          <w:lang w:val="el-GR"/>
        </w:rPr>
        <w:t xml:space="preserve">όπως και </w:t>
      </w:r>
      <w:r>
        <w:rPr>
          <w:lang w:val="el-GR"/>
        </w:rPr>
        <w:t>αλλαγή στον τρόπο λειτουργίας των ειδικών σχολείων και στα καθήκοντα των ειδικών εκπαιδευτικών, παράμετροι που δεν λαμβάνονται υπόψη στις προτεινόμενες τροποποιήσεις.</w:t>
      </w:r>
    </w:p>
    <w:p w14:paraId="36AF3760" w14:textId="77777777" w:rsidR="003152DD" w:rsidRPr="00DD6B4D" w:rsidRDefault="003152DD" w:rsidP="003152DD">
      <w:pPr>
        <w:pStyle w:val="ListParagraph"/>
        <w:numPr>
          <w:ilvl w:val="0"/>
          <w:numId w:val="1"/>
        </w:numPr>
        <w:rPr>
          <w:lang w:val="el-GR"/>
        </w:rPr>
      </w:pPr>
      <w:r w:rsidRPr="00DD6B4D">
        <w:rPr>
          <w:lang w:val="el-GR"/>
        </w:rPr>
        <w:t xml:space="preserve">Η προτεινόμενη τροποποίηση στη διαδικασία παραπομπής παιδιού για αξιολόγηση απαιτεί βεβαιώσεις από συγκεκριμένους επαγγελματίες, οι οποίες στην υφιστάμενη νομοθεσία δεν απαιτούνταν. Αυτό δυσκολεύει τη διαδικασία αξιολόγησης και την κάνει προνόμιο μόνο για τα παιδιά των οποίων οι γονείς γνωρίζουν πώς να προσπελάσουν τα απαραίτητα εμπόδια. Επίσης, οι επιλογή </w:t>
      </w:r>
      <w:r w:rsidRPr="00DD6B4D">
        <w:rPr>
          <w:lang w:val="el-GR"/>
        </w:rPr>
        <w:lastRenderedPageBreak/>
        <w:t>των επαγγελματιών από τους οποίους χρειάζεται βεβαίωση δείχνει και τον προσανατολισμό των τεχνοκρατών για το ποια παιδιά θεωρούν ότι δικαιούνται να λαμβάνουν στήριξη μέσα στο εκπαιδευτικό σύστημα.</w:t>
      </w:r>
    </w:p>
    <w:p w14:paraId="7AEC35EA" w14:textId="271C51ED" w:rsidR="003152DD" w:rsidRPr="00DD6B4D" w:rsidRDefault="003152DD" w:rsidP="003152DD">
      <w:pPr>
        <w:pStyle w:val="ListParagraph"/>
        <w:numPr>
          <w:ilvl w:val="0"/>
          <w:numId w:val="1"/>
        </w:numPr>
        <w:rPr>
          <w:lang w:val="el-GR"/>
        </w:rPr>
      </w:pPr>
      <w:r w:rsidRPr="00DD6B4D">
        <w:rPr>
          <w:lang w:val="el-GR"/>
        </w:rPr>
        <w:t>Οι προτεινόμενες τροποποιήσεις που αφορούν στη λειτουργία των Επαρχιακών Επιτροπών, δηλαδή το συρρικνωμένο χρονικό διάστημα που μπορούν να δέχονται αιτήματα αξιολόγησης και η δυνατότητά τους να καταλήγουν σε «τελεσίδικη» απόφαση για το πλαίσιο φοίτησης του παιδιού, ενδυναμώνουν τον ρόλο τους στην προώθηση του διαχωρισμού.</w:t>
      </w:r>
    </w:p>
    <w:p w14:paraId="52DD3C41" w14:textId="77777777" w:rsidR="003152DD" w:rsidRDefault="003152DD" w:rsidP="003152DD">
      <w:pPr>
        <w:pStyle w:val="ListParagraph"/>
        <w:numPr>
          <w:ilvl w:val="0"/>
          <w:numId w:val="1"/>
        </w:numPr>
        <w:rPr>
          <w:lang w:val="el-GR"/>
        </w:rPr>
      </w:pPr>
      <w:r w:rsidRPr="00DD6B4D">
        <w:rPr>
          <w:lang w:val="el-GR"/>
        </w:rPr>
        <w:t xml:space="preserve">Οι προτεινόμενες αλλαγές για τον ρόλο των γονέων στη διαδικασία αξιολόγησης αποδυναμώνουν τους γονείς, αφού τους δίνεται το δικαίωμα ένστασης για μια φορά. </w:t>
      </w:r>
      <w:r>
        <w:rPr>
          <w:lang w:val="el-GR"/>
        </w:rPr>
        <w:t xml:space="preserve">Επίσης, η προτεινόμενη τροποποίηση για αυτεπάγγελτη αξιολόγηση παιδιού με αναπηρία όταν αυτό κρίνεται ότι είναι προς το συμφέρον του, αποτελεί διάκριση λόγω αναπηρίας. Αν οι γονείς κριθούν ότι δεν μπορούν να ανταποκριθούν στα γονικά τους καθήκοντα με βάση τη νομοθεσία που ισχύει για όλα τα παιδιά, τότε και μόνο τότε, θα μπορούν οι αρχές να αποφασίσουν για τη στήριξη του στην εκπαίδευση και σε όλους τους άλλους τομείς της ζωής. </w:t>
      </w:r>
    </w:p>
    <w:p w14:paraId="0C5D7956" w14:textId="146A06C2" w:rsidR="003152DD" w:rsidRDefault="003152DD" w:rsidP="003152DD">
      <w:pPr>
        <w:pStyle w:val="ListParagraph"/>
        <w:numPr>
          <w:ilvl w:val="0"/>
          <w:numId w:val="1"/>
        </w:numPr>
        <w:rPr>
          <w:lang w:val="el-GR"/>
        </w:rPr>
      </w:pPr>
      <w:r w:rsidRPr="00DD6B4D">
        <w:rPr>
          <w:lang w:val="el-GR"/>
        </w:rPr>
        <w:t xml:space="preserve">Η φωνή του παιδιού δεν λαμβάνεται υπόψη. Το παιδί συμμετέχει στη διαδικασία αξιολόγησης ως αξιολογούμενο με τους παραδοσιακούς </w:t>
      </w:r>
      <w:proofErr w:type="spellStart"/>
      <w:r w:rsidRPr="00DD6B4D">
        <w:rPr>
          <w:lang w:val="el-GR"/>
        </w:rPr>
        <w:t>ιατροκεντρικούς</w:t>
      </w:r>
      <w:proofErr w:type="spellEnd"/>
      <w:r w:rsidRPr="00DD6B4D">
        <w:rPr>
          <w:lang w:val="el-GR"/>
        </w:rPr>
        <w:t xml:space="preserve"> τρόπους.</w:t>
      </w:r>
      <w:r>
        <w:rPr>
          <w:lang w:val="el-GR"/>
        </w:rPr>
        <w:t xml:space="preserve"> Οι εμπειρίες του, οι απόψεις του και οι επιθυμίες του για τον τρόπο μάθησ</w:t>
      </w:r>
      <w:r w:rsidR="0072165D">
        <w:rPr>
          <w:lang w:val="el-GR"/>
        </w:rPr>
        <w:t>ή</w:t>
      </w:r>
      <w:r>
        <w:rPr>
          <w:lang w:val="el-GR"/>
        </w:rPr>
        <w:t>ς του δεν φαίνεται να αποτελούν σημαντική παράμετρο στη φιλοσοφία της νομοθεσίας.</w:t>
      </w:r>
    </w:p>
    <w:p w14:paraId="7904850C" w14:textId="467EAAA4" w:rsidR="003152DD" w:rsidRPr="00DD6B4D" w:rsidRDefault="003152DD" w:rsidP="003152DD">
      <w:pPr>
        <w:pStyle w:val="ListParagraph"/>
        <w:numPr>
          <w:ilvl w:val="0"/>
          <w:numId w:val="1"/>
        </w:numPr>
        <w:rPr>
          <w:lang w:val="el-GR"/>
        </w:rPr>
      </w:pPr>
      <w:r>
        <w:rPr>
          <w:lang w:val="el-GR"/>
        </w:rPr>
        <w:t>Η πρόταση για συμμετοχή της Κυπριακής Συνομοσπονδίας Οργανώσεων Αναπήρων (ΚΥ</w:t>
      </w:r>
      <w:r w:rsidR="006F1BDA">
        <w:rPr>
          <w:lang w:val="el-GR"/>
        </w:rPr>
        <w:t>.</w:t>
      </w:r>
      <w:r>
        <w:rPr>
          <w:lang w:val="el-GR"/>
        </w:rPr>
        <w:t>Σ</w:t>
      </w:r>
      <w:r w:rsidR="006F1BDA">
        <w:rPr>
          <w:lang w:val="el-GR"/>
        </w:rPr>
        <w:t>.</w:t>
      </w:r>
      <w:r>
        <w:rPr>
          <w:lang w:val="el-GR"/>
        </w:rPr>
        <w:t>Ο</w:t>
      </w:r>
      <w:r w:rsidR="006F1BDA">
        <w:rPr>
          <w:lang w:val="el-GR"/>
        </w:rPr>
        <w:t>.</w:t>
      </w:r>
      <w:r>
        <w:rPr>
          <w:lang w:val="el-GR"/>
        </w:rPr>
        <w:t>Α</w:t>
      </w:r>
      <w:r w:rsidR="006F1BDA">
        <w:rPr>
          <w:lang w:val="el-GR"/>
        </w:rPr>
        <w:t>.</w:t>
      </w:r>
      <w:r>
        <w:rPr>
          <w:lang w:val="el-GR"/>
        </w:rPr>
        <w:t>) στις Επαρχιακές Επιτροπές οι οποίες λαμβάνουν αποφάσεις για διαχωρισμό των παιδιών σε ειδικά πλαίσια</w:t>
      </w:r>
      <w:r w:rsidR="0072165D">
        <w:rPr>
          <w:lang w:val="el-GR"/>
        </w:rPr>
        <w:t xml:space="preserve"> είναι ασύμβατη με τον ρόλο της ΚΥ.Σ.Ο.Α</w:t>
      </w:r>
      <w:r>
        <w:rPr>
          <w:lang w:val="el-GR"/>
        </w:rPr>
        <w:t>. Ο ρόλος της ΚΥ</w:t>
      </w:r>
      <w:r w:rsidR="006F1BDA">
        <w:rPr>
          <w:lang w:val="el-GR"/>
        </w:rPr>
        <w:t>.</w:t>
      </w:r>
      <w:r>
        <w:rPr>
          <w:lang w:val="el-GR"/>
        </w:rPr>
        <w:t>Σ</w:t>
      </w:r>
      <w:r w:rsidR="006F1BDA">
        <w:rPr>
          <w:lang w:val="el-GR"/>
        </w:rPr>
        <w:t>.</w:t>
      </w:r>
      <w:r>
        <w:rPr>
          <w:lang w:val="el-GR"/>
        </w:rPr>
        <w:t>Ο</w:t>
      </w:r>
      <w:r w:rsidR="006F1BDA">
        <w:rPr>
          <w:lang w:val="el-GR"/>
        </w:rPr>
        <w:t>.</w:t>
      </w:r>
      <w:r>
        <w:rPr>
          <w:lang w:val="el-GR"/>
        </w:rPr>
        <w:t>Α</w:t>
      </w:r>
      <w:r w:rsidR="006F1BDA">
        <w:rPr>
          <w:lang w:val="el-GR"/>
        </w:rPr>
        <w:t>.</w:t>
      </w:r>
      <w:r>
        <w:rPr>
          <w:lang w:val="el-GR"/>
        </w:rPr>
        <w:t xml:space="preserve"> είναι να προωθεί την ένταξη και όχι τον διαχωρισμό των παιδιών με αναπηρία.</w:t>
      </w:r>
    </w:p>
    <w:p w14:paraId="38AAA68E" w14:textId="0CAB264C" w:rsidR="00C6778F" w:rsidRDefault="00C6778F">
      <w:pPr>
        <w:rPr>
          <w:lang w:val="el-GR"/>
        </w:rPr>
      </w:pPr>
      <w:r w:rsidRPr="00C6778F">
        <w:rPr>
          <w:lang w:val="el-GR"/>
        </w:rPr>
        <w:t>Οι προτεινόμενες τροποποιήσεις δεν συνιστούν μετάβαση προς ένα σύστημα ενιαίας εκπαίδευσης, όπως αυτό προβλέπεται από το άρθρο 24 της Σύμβασης του ΟΗΕ για τα Δικαιώματα των Ατόμων με Αναπηρία. Αντίθετα, διατηρούν τη λογική ενός διττού εκπαιδευτικού συστήματος, στο οποίο η παροχή στήριξης εξακολουθεί να συνδέεται με την κατηγοριοποίηση και τον διαχωρισμό των παιδιώ</w:t>
      </w:r>
      <w:r>
        <w:rPr>
          <w:lang w:val="el-GR"/>
        </w:rPr>
        <w:t>ν με αναπηρία.</w:t>
      </w:r>
      <w:r w:rsidR="008147AD">
        <w:rPr>
          <w:lang w:val="el-GR"/>
        </w:rPr>
        <w:t xml:space="preserve"> </w:t>
      </w:r>
    </w:p>
    <w:p w14:paraId="1A2DF580" w14:textId="05C47666" w:rsidR="00C6778F" w:rsidRDefault="00C6778F">
      <w:pPr>
        <w:rPr>
          <w:lang w:val="el-GR"/>
        </w:rPr>
      </w:pPr>
      <w:r w:rsidRPr="00C6778F">
        <w:rPr>
          <w:lang w:val="el-GR"/>
        </w:rPr>
        <w:t>Αντί της διατήρησης ενός συστήματος που βασίζεται στην κατηγοριοποίηση και τον διαχωρισμό των παιδιών, απαιτείται η διαμόρφωση ενός νέου νομοθετικού πλαισίου που να στηρίζεται στις αρχές της ενιαίας εκπαίδευσης, όπως αυτές απορρέουν από το Άρθρο 24 της Σύμβασης του ΟΗΕ για τα Δικαιώματα των Ατόμων με Αναπηρία. Ένα τέτοιο πλαίσιο θα πρέπει να προβλέπει καθολικές δομές υποστήριξης για όλα τα σχολεία, σαφείς μηχανισμούς συνεργασίας μεταξύ των εμπλεκόμενων υπηρεσιών, ενδυνάμωση των εκπαιδευτικών και αποτελεσματικούς μηχανισμούς διακυβέρνησης και λογοδοσίας, ώστε κάθε παιδί να έχει ουσιαστική πρόσβαση, συμμετοχή και μάθηση στο γενικό σχολείο</w:t>
      </w:r>
      <w:r>
        <w:rPr>
          <w:lang w:val="el-GR"/>
        </w:rPr>
        <w:t>.</w:t>
      </w:r>
    </w:p>
    <w:p w14:paraId="79CCCF59" w14:textId="77777777" w:rsidR="00C6778F" w:rsidRDefault="00C6778F">
      <w:pPr>
        <w:rPr>
          <w:lang w:val="el-GR"/>
        </w:rPr>
      </w:pPr>
    </w:p>
    <w:p w14:paraId="63AC994E" w14:textId="748BC8EE" w:rsidR="006F1BDA" w:rsidRPr="006F1BDA" w:rsidRDefault="006F1BDA">
      <w:pPr>
        <w:rPr>
          <w:b/>
          <w:bCs/>
          <w:lang w:val="el-GR"/>
        </w:rPr>
      </w:pPr>
      <w:r w:rsidRPr="006F1BDA">
        <w:rPr>
          <w:b/>
          <w:bCs/>
          <w:lang w:val="el-GR"/>
        </w:rPr>
        <w:t>Αναφορές</w:t>
      </w:r>
    </w:p>
    <w:p w14:paraId="7403AF50" w14:textId="315FFE85" w:rsidR="00A807AB" w:rsidRDefault="00BE0917" w:rsidP="0072165D">
      <w:pPr>
        <w:spacing w:line="240" w:lineRule="auto"/>
        <w:jc w:val="both"/>
        <w:rPr>
          <w:rFonts w:cs="Calibri"/>
          <w:lang w:val="en-US"/>
        </w:rPr>
      </w:pPr>
      <w:bookmarkStart w:id="0" w:name="_Hlk105348006"/>
      <w:r w:rsidRPr="00BE0917">
        <w:rPr>
          <w:lang w:val="en-US"/>
        </w:rPr>
        <w:t>European Agency for Special Needs and Inclusive Education</w:t>
      </w:r>
      <w:r>
        <w:rPr>
          <w:lang w:val="en-US"/>
        </w:rPr>
        <w:t xml:space="preserve"> (</w:t>
      </w:r>
      <w:r w:rsidRPr="00BE0917">
        <w:rPr>
          <w:lang w:val="en-US"/>
        </w:rPr>
        <w:t>2022</w:t>
      </w:r>
      <w:r>
        <w:rPr>
          <w:lang w:val="en-US"/>
        </w:rPr>
        <w:t>)</w:t>
      </w:r>
      <w:r w:rsidRPr="00BE0917">
        <w:rPr>
          <w:lang w:val="en-US"/>
        </w:rPr>
        <w:t xml:space="preserve">. European Agency Statistics on Inclusive Education (EASIE): </w:t>
      </w:r>
      <w:r w:rsidRPr="00BE0917">
        <w:rPr>
          <w:i/>
          <w:iCs/>
          <w:lang w:val="en-US"/>
        </w:rPr>
        <w:t>Guide to the</w:t>
      </w:r>
      <w:r w:rsidRPr="00BE0917">
        <w:rPr>
          <w:i/>
          <w:iCs/>
          <w:lang w:val="en-US"/>
        </w:rPr>
        <w:t xml:space="preserve"> </w:t>
      </w:r>
      <w:r w:rsidRPr="00BE0917">
        <w:rPr>
          <w:i/>
          <w:iCs/>
          <w:lang w:val="en-US"/>
        </w:rPr>
        <w:t xml:space="preserve">EASIE data tables and country background information. </w:t>
      </w:r>
      <w:r w:rsidRPr="00BE0917">
        <w:rPr>
          <w:lang w:val="en-US"/>
        </w:rPr>
        <w:t xml:space="preserve">(A. </w:t>
      </w:r>
      <w:proofErr w:type="spellStart"/>
      <w:r w:rsidRPr="00BE0917">
        <w:rPr>
          <w:lang w:val="en-US"/>
        </w:rPr>
        <w:t>Lenárt</w:t>
      </w:r>
      <w:proofErr w:type="spellEnd"/>
      <w:r w:rsidRPr="00BE0917">
        <w:rPr>
          <w:lang w:val="en-US"/>
        </w:rPr>
        <w:t xml:space="preserve">, R. </w:t>
      </w:r>
      <w:proofErr w:type="spellStart"/>
      <w:r w:rsidRPr="00BE0917">
        <w:rPr>
          <w:lang w:val="en-US"/>
        </w:rPr>
        <w:t>Mepsted</w:t>
      </w:r>
      <w:proofErr w:type="spellEnd"/>
      <w:r w:rsidRPr="00BE0917">
        <w:rPr>
          <w:lang w:val="en-US"/>
        </w:rPr>
        <w:t xml:space="preserve"> and A. </w:t>
      </w:r>
      <w:proofErr w:type="spellStart"/>
      <w:r w:rsidRPr="00BE0917">
        <w:rPr>
          <w:lang w:val="en-US"/>
        </w:rPr>
        <w:t>Lecheval</w:t>
      </w:r>
      <w:proofErr w:type="spellEnd"/>
      <w:r w:rsidRPr="00BE0917">
        <w:rPr>
          <w:lang w:val="en-US"/>
        </w:rPr>
        <w:t>, eds.). Odense, Denmark</w:t>
      </w:r>
      <w:r>
        <w:rPr>
          <w:lang w:val="en-US"/>
        </w:rPr>
        <w:t>.</w:t>
      </w:r>
    </w:p>
    <w:p w14:paraId="5447B6B5" w14:textId="57390A96" w:rsidR="00BE0917" w:rsidRDefault="00BE0917" w:rsidP="0072165D">
      <w:pPr>
        <w:spacing w:line="240" w:lineRule="auto"/>
        <w:jc w:val="both"/>
        <w:rPr>
          <w:rFonts w:cs="Calibri"/>
          <w:lang w:val="en-US"/>
        </w:rPr>
      </w:pPr>
      <w:r w:rsidRPr="00BE0917">
        <w:rPr>
          <w:rFonts w:cs="Calibri"/>
          <w:lang w:val="en-US"/>
        </w:rPr>
        <w:t>Rix, J. (20</w:t>
      </w:r>
      <w:r>
        <w:rPr>
          <w:rFonts w:cs="Calibri"/>
          <w:lang w:val="en-US"/>
        </w:rPr>
        <w:t>23</w:t>
      </w:r>
      <w:r w:rsidRPr="00BE0917">
        <w:rPr>
          <w:rFonts w:cs="Calibri"/>
          <w:lang w:val="en-US"/>
        </w:rPr>
        <w:t xml:space="preserve">). </w:t>
      </w:r>
      <w:r w:rsidRPr="00BE0917">
        <w:rPr>
          <w:rFonts w:cs="Calibri"/>
          <w:lang w:val="en-US"/>
        </w:rPr>
        <w:t>Labels of Convenience/Labels of Opportunity</w:t>
      </w:r>
      <w:r w:rsidRPr="00BE0917">
        <w:rPr>
          <w:rFonts w:cs="Calibri"/>
          <w:lang w:val="en-US"/>
        </w:rPr>
        <w:t>. In</w:t>
      </w:r>
      <w:r>
        <w:rPr>
          <w:rFonts w:cs="Calibri"/>
          <w:lang w:val="en-US"/>
        </w:rPr>
        <w:t xml:space="preserve"> E. J. Done &amp; H. Knowler (eds.).</w:t>
      </w:r>
      <w:r w:rsidRPr="00BE0917">
        <w:rPr>
          <w:rFonts w:cs="Calibri"/>
          <w:lang w:val="en-US"/>
        </w:rPr>
        <w:t xml:space="preserve"> </w:t>
      </w:r>
      <w:r w:rsidRPr="00BE0917">
        <w:rPr>
          <w:rFonts w:cs="Calibri"/>
          <w:i/>
          <w:iCs/>
          <w:lang w:val="en-US"/>
        </w:rPr>
        <w:t>International Perspectives on Exclusionary Pressures in Education</w:t>
      </w:r>
      <w:r w:rsidRPr="00BE0917">
        <w:rPr>
          <w:rFonts w:cs="Calibri"/>
          <w:i/>
          <w:iCs/>
          <w:lang w:val="en-US"/>
        </w:rPr>
        <w:t xml:space="preserve">. </w:t>
      </w:r>
      <w:r w:rsidRPr="00BE0917">
        <w:rPr>
          <w:rFonts w:cs="Calibri"/>
          <w:i/>
          <w:iCs/>
        </w:rPr>
        <w:t>How Inclusion becomes Exclusion</w:t>
      </w:r>
      <w:r>
        <w:rPr>
          <w:rFonts w:cs="Calibri"/>
        </w:rPr>
        <w:t xml:space="preserve">, 125-142. </w:t>
      </w:r>
      <w:proofErr w:type="spellStart"/>
      <w:r>
        <w:rPr>
          <w:rFonts w:cs="Calibri"/>
        </w:rPr>
        <w:t>Plagrave</w:t>
      </w:r>
      <w:proofErr w:type="spellEnd"/>
      <w:r>
        <w:rPr>
          <w:rFonts w:cs="Calibri"/>
        </w:rPr>
        <w:t xml:space="preserve"> Macmillan.</w:t>
      </w:r>
    </w:p>
    <w:p w14:paraId="3A34D155" w14:textId="4257EE17" w:rsidR="00BE0917" w:rsidRDefault="00A807AB" w:rsidP="0072165D">
      <w:pPr>
        <w:pStyle w:val="ListParagraph"/>
        <w:spacing w:line="240" w:lineRule="auto"/>
        <w:ind w:left="0"/>
        <w:jc w:val="both"/>
        <w:rPr>
          <w:rFonts w:cs="Calibri"/>
          <w:lang w:val="en-US"/>
        </w:rPr>
      </w:pPr>
      <w:r w:rsidRPr="00A807AB">
        <w:rPr>
          <w:rFonts w:cs="Calibri"/>
          <w:lang w:val="en-US"/>
        </w:rPr>
        <w:t xml:space="preserve">Slee, R. (2011). </w:t>
      </w:r>
      <w:r w:rsidRPr="00A807AB">
        <w:rPr>
          <w:rFonts w:cs="Calibri"/>
          <w:i/>
          <w:iCs/>
          <w:lang w:val="en-US"/>
        </w:rPr>
        <w:t>The irregular school: Exclusion, schooling and inclusive education</w:t>
      </w:r>
      <w:r w:rsidRPr="00A807AB">
        <w:rPr>
          <w:rFonts w:cs="Calibri"/>
          <w:lang w:val="en-US"/>
        </w:rPr>
        <w:t>. Routledge.</w:t>
      </w:r>
    </w:p>
    <w:p w14:paraId="6DEB36A3" w14:textId="77777777" w:rsidR="00BE0917" w:rsidRDefault="00BE0917" w:rsidP="0072165D">
      <w:pPr>
        <w:pStyle w:val="ListParagraph"/>
        <w:spacing w:line="240" w:lineRule="auto"/>
        <w:ind w:left="0"/>
        <w:jc w:val="both"/>
        <w:rPr>
          <w:rFonts w:cs="Calibri"/>
          <w:lang w:val="en-US"/>
        </w:rPr>
      </w:pPr>
    </w:p>
    <w:p w14:paraId="73E54DBA" w14:textId="2D4E919C" w:rsidR="008A7356" w:rsidRPr="008A7356" w:rsidRDefault="008A7356" w:rsidP="0072165D">
      <w:pPr>
        <w:pStyle w:val="ListParagraph"/>
        <w:spacing w:line="240" w:lineRule="auto"/>
        <w:ind w:left="0"/>
        <w:jc w:val="both"/>
        <w:rPr>
          <w:rFonts w:cs="Calibri"/>
          <w:lang w:val="en-US"/>
        </w:rPr>
      </w:pPr>
      <w:r w:rsidRPr="008A7356">
        <w:rPr>
          <w:rFonts w:cs="Calibri"/>
          <w:lang w:val="en-US"/>
        </w:rPr>
        <w:t xml:space="preserve">Symeonidou. S., &amp; Mavrou, K. (2020). Problematising disabling discourses on the assessment and placement of learners with disabilities: can interdependence inform an alternative narrative for inclusion? </w:t>
      </w:r>
      <w:r w:rsidRPr="008A7356">
        <w:rPr>
          <w:rFonts w:cs="Calibri"/>
          <w:i/>
          <w:lang w:val="en-US"/>
        </w:rPr>
        <w:t>European Journal of Special Needs Education,</w:t>
      </w:r>
      <w:r w:rsidRPr="008A7356">
        <w:rPr>
          <w:rFonts w:cs="Calibri"/>
          <w:lang w:val="en-US"/>
        </w:rPr>
        <w:t xml:space="preserve"> </w:t>
      </w:r>
      <w:r w:rsidRPr="008A7356">
        <w:rPr>
          <w:rFonts w:cs="Calibri"/>
          <w:i/>
          <w:lang w:val="en-US"/>
        </w:rPr>
        <w:t>35</w:t>
      </w:r>
      <w:r w:rsidRPr="008A7356">
        <w:rPr>
          <w:rFonts w:cs="Calibri"/>
          <w:lang w:val="en-US"/>
        </w:rPr>
        <w:t xml:space="preserve">(1), 70-84. </w:t>
      </w:r>
      <w:hyperlink r:id="rId7" w:history="1">
        <w:r w:rsidRPr="008A7356">
          <w:rPr>
            <w:rStyle w:val="Hyperlink"/>
            <w:rFonts w:cs="Calibri"/>
            <w:lang w:val="en-US"/>
          </w:rPr>
          <w:t>https://10.1080/08856257.2019.160</w:t>
        </w:r>
        <w:r w:rsidRPr="008A7356">
          <w:rPr>
            <w:rStyle w:val="Hyperlink"/>
            <w:rFonts w:cs="Calibri"/>
            <w:lang w:val="en-US"/>
          </w:rPr>
          <w:t>7</w:t>
        </w:r>
        <w:r w:rsidRPr="008A7356">
          <w:rPr>
            <w:rStyle w:val="Hyperlink"/>
            <w:rFonts w:cs="Calibri"/>
            <w:lang w:val="en-US"/>
          </w:rPr>
          <w:t>661</w:t>
        </w:r>
      </w:hyperlink>
      <w:bookmarkEnd w:id="0"/>
    </w:p>
    <w:p w14:paraId="32B3A156" w14:textId="2D59CAB2" w:rsidR="006F1BDA" w:rsidRPr="008A7356" w:rsidRDefault="006F1BDA" w:rsidP="0072165D">
      <w:pPr>
        <w:spacing w:line="240" w:lineRule="auto"/>
      </w:pPr>
      <w:r w:rsidRPr="00244BCC">
        <w:rPr>
          <w:lang w:val="en-US"/>
        </w:rPr>
        <w:t>Symeonidou</w:t>
      </w:r>
      <w:r w:rsidRPr="006F1BDA">
        <w:t xml:space="preserve">, </w:t>
      </w:r>
      <w:r w:rsidRPr="00244BCC">
        <w:rPr>
          <w:lang w:val="en-US"/>
        </w:rPr>
        <w:t>S</w:t>
      </w:r>
      <w:r w:rsidRPr="006F1BDA">
        <w:t xml:space="preserve">. (2025). </w:t>
      </w:r>
      <w:r w:rsidRPr="00244BCC">
        <w:rPr>
          <w:lang w:val="en-US"/>
        </w:rPr>
        <w:t xml:space="preserve">Exclusionary pressures undermining the move towards inclusive education in Cyprus: The power of ableism. In E. Done (Ed.), </w:t>
      </w:r>
      <w:r w:rsidRPr="00244BCC">
        <w:rPr>
          <w:i/>
          <w:iCs/>
          <w:lang w:val="en-US"/>
        </w:rPr>
        <w:t>Challenging Exclusionary Pressures in Education. How Inclusion Becomes Exclusion</w:t>
      </w:r>
      <w:r w:rsidRPr="00244BCC">
        <w:rPr>
          <w:lang w:val="en-US"/>
        </w:rPr>
        <w:t>, 71-89 Cham: Palgrave Macmillan.</w:t>
      </w:r>
      <w:r>
        <w:rPr>
          <w:lang w:val="en-US"/>
        </w:rPr>
        <w:t xml:space="preserve"> </w:t>
      </w:r>
      <w:hyperlink r:id="rId8" w:history="1">
        <w:r w:rsidR="008A7356" w:rsidRPr="00D46D35">
          <w:rPr>
            <w:rStyle w:val="Hyperlink"/>
            <w:lang w:val="en-US"/>
          </w:rPr>
          <w:t>https://link.springer.com/chapter/10.1007/978-3-032-07769-1_4</w:t>
        </w:r>
      </w:hyperlink>
    </w:p>
    <w:p w14:paraId="0F314531" w14:textId="77777777" w:rsidR="008A7356" w:rsidRPr="006F1BDA" w:rsidRDefault="008A7356" w:rsidP="0072165D">
      <w:pPr>
        <w:spacing w:line="240" w:lineRule="auto"/>
      </w:pPr>
      <w:r>
        <w:t xml:space="preserve">United Nations. (2006). </w:t>
      </w:r>
      <w:r w:rsidRPr="008A7356">
        <w:rPr>
          <w:i/>
          <w:iCs/>
        </w:rPr>
        <w:t>Convention on the Rights of Persons with Disabilities</w:t>
      </w:r>
      <w:r>
        <w:t>. Author.</w:t>
      </w:r>
    </w:p>
    <w:p w14:paraId="3DDFFF2B" w14:textId="6B75E609" w:rsidR="008A7356" w:rsidRDefault="008A7356" w:rsidP="0072165D">
      <w:pPr>
        <w:spacing w:line="240" w:lineRule="auto"/>
      </w:pPr>
      <w:r>
        <w:t xml:space="preserve">United Nations Committee on the Rights of Persons with Disabilities. (2016). </w:t>
      </w:r>
      <w:r w:rsidRPr="008A7356">
        <w:rPr>
          <w:i/>
          <w:iCs/>
        </w:rPr>
        <w:t>General Comment No. 4 (2016) on the right to inclusive education (Article 24).</w:t>
      </w:r>
      <w:r>
        <w:t xml:space="preserve"> CRPD/C/GC/4.</w:t>
      </w:r>
      <w:r>
        <w:t xml:space="preserve"> Author.</w:t>
      </w:r>
    </w:p>
    <w:p w14:paraId="554CE5FE" w14:textId="5265ECB9" w:rsidR="008A7356" w:rsidRDefault="008A7356" w:rsidP="0072165D">
      <w:pPr>
        <w:spacing w:line="240" w:lineRule="auto"/>
      </w:pPr>
      <w:r>
        <w:rPr>
          <w:lang w:val="en-US"/>
        </w:rPr>
        <w:t xml:space="preserve">United Nations </w:t>
      </w:r>
      <w:r w:rsidRPr="008A7356">
        <w:t xml:space="preserve">Committee on the Rights of Persons with Disabilities. (2017). </w:t>
      </w:r>
      <w:r w:rsidRPr="008A7356">
        <w:rPr>
          <w:i/>
          <w:iCs/>
        </w:rPr>
        <w:t>Concluding observations on the initial report of Cyprus</w:t>
      </w:r>
      <w:r>
        <w:rPr>
          <w:i/>
          <w:iCs/>
        </w:rPr>
        <w:t>.</w:t>
      </w:r>
      <w:r w:rsidRPr="008A7356">
        <w:t xml:space="preserve"> CRPD/C/CYP/CO/1. </w:t>
      </w:r>
      <w:r>
        <w:t>Author.</w:t>
      </w:r>
    </w:p>
    <w:p w14:paraId="0A5AD1DD" w14:textId="77777777" w:rsidR="006F1BDA" w:rsidRPr="006F1BDA" w:rsidRDefault="006F1BDA" w:rsidP="0072165D">
      <w:pPr>
        <w:spacing w:line="240" w:lineRule="auto"/>
      </w:pPr>
    </w:p>
    <w:p w14:paraId="251EA41B" w14:textId="77777777" w:rsidR="008147AD" w:rsidRDefault="008147AD" w:rsidP="008147AD">
      <w:pPr>
        <w:rPr>
          <w:lang w:val="el-GR"/>
        </w:rPr>
      </w:pPr>
    </w:p>
    <w:p w14:paraId="34DC8AC0" w14:textId="77777777" w:rsidR="008147AD" w:rsidRPr="003152DD" w:rsidRDefault="008147AD">
      <w:pPr>
        <w:rPr>
          <w:lang w:val="el-GR"/>
        </w:rPr>
      </w:pPr>
    </w:p>
    <w:sectPr w:rsidR="008147AD" w:rsidRPr="003152D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56AA" w14:textId="77777777" w:rsidR="00F53224" w:rsidRDefault="00F53224" w:rsidP="00BE0917">
      <w:pPr>
        <w:spacing w:after="0" w:line="240" w:lineRule="auto"/>
      </w:pPr>
      <w:r>
        <w:separator/>
      </w:r>
    </w:p>
  </w:endnote>
  <w:endnote w:type="continuationSeparator" w:id="0">
    <w:p w14:paraId="1DFF5350" w14:textId="77777777" w:rsidR="00F53224" w:rsidRDefault="00F53224" w:rsidP="00BE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62607"/>
      <w:docPartObj>
        <w:docPartGallery w:val="Page Numbers (Bottom of Page)"/>
        <w:docPartUnique/>
      </w:docPartObj>
    </w:sdtPr>
    <w:sdtContent>
      <w:p w14:paraId="171C00AA" w14:textId="1CE0784D" w:rsidR="00BE0917" w:rsidRDefault="00BE0917">
        <w:pPr>
          <w:pStyle w:val="Footer"/>
          <w:jc w:val="center"/>
        </w:pPr>
        <w:r>
          <w:fldChar w:fldCharType="begin"/>
        </w:r>
        <w:r>
          <w:instrText>PAGE   \* MERGEFORMAT</w:instrText>
        </w:r>
        <w:r>
          <w:fldChar w:fldCharType="separate"/>
        </w:r>
        <w:r>
          <w:t>2</w:t>
        </w:r>
        <w:r>
          <w:fldChar w:fldCharType="end"/>
        </w:r>
      </w:p>
    </w:sdtContent>
  </w:sdt>
  <w:p w14:paraId="2DA384FC" w14:textId="77777777" w:rsidR="00BE0917" w:rsidRDefault="00BE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E991" w14:textId="77777777" w:rsidR="00F53224" w:rsidRDefault="00F53224" w:rsidP="00BE0917">
      <w:pPr>
        <w:spacing w:after="0" w:line="240" w:lineRule="auto"/>
      </w:pPr>
      <w:r>
        <w:separator/>
      </w:r>
    </w:p>
  </w:footnote>
  <w:footnote w:type="continuationSeparator" w:id="0">
    <w:p w14:paraId="62EED01E" w14:textId="77777777" w:rsidR="00F53224" w:rsidRDefault="00F53224" w:rsidP="00BE0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C31"/>
    <w:multiLevelType w:val="hybridMultilevel"/>
    <w:tmpl w:val="FDD45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05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DD"/>
    <w:rsid w:val="003152DD"/>
    <w:rsid w:val="006F1BDA"/>
    <w:rsid w:val="0072165D"/>
    <w:rsid w:val="008147AD"/>
    <w:rsid w:val="008A7356"/>
    <w:rsid w:val="00A05273"/>
    <w:rsid w:val="00A807AB"/>
    <w:rsid w:val="00BE0917"/>
    <w:rsid w:val="00C40331"/>
    <w:rsid w:val="00C6778F"/>
    <w:rsid w:val="00CB41B2"/>
    <w:rsid w:val="00DB7F0E"/>
    <w:rsid w:val="00F53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B56F"/>
  <w15:chartTrackingRefBased/>
  <w15:docId w15:val="{4C7F18E8-932E-4552-82DE-4813742B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DD"/>
  </w:style>
  <w:style w:type="paragraph" w:styleId="Heading1">
    <w:name w:val="heading 1"/>
    <w:basedOn w:val="Normal"/>
    <w:next w:val="Normal"/>
    <w:link w:val="Heading1Char"/>
    <w:uiPriority w:val="9"/>
    <w:qFormat/>
    <w:rsid w:val="0031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2DD"/>
    <w:rPr>
      <w:rFonts w:eastAsiaTheme="majorEastAsia" w:cstheme="majorBidi"/>
      <w:color w:val="272727" w:themeColor="text1" w:themeTint="D8"/>
    </w:rPr>
  </w:style>
  <w:style w:type="paragraph" w:styleId="Title">
    <w:name w:val="Title"/>
    <w:basedOn w:val="Normal"/>
    <w:next w:val="Normal"/>
    <w:link w:val="TitleChar"/>
    <w:uiPriority w:val="10"/>
    <w:qFormat/>
    <w:rsid w:val="0031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2DD"/>
    <w:pPr>
      <w:spacing w:before="160"/>
      <w:jc w:val="center"/>
    </w:pPr>
    <w:rPr>
      <w:i/>
      <w:iCs/>
      <w:color w:val="404040" w:themeColor="text1" w:themeTint="BF"/>
    </w:rPr>
  </w:style>
  <w:style w:type="character" w:customStyle="1" w:styleId="QuoteChar">
    <w:name w:val="Quote Char"/>
    <w:basedOn w:val="DefaultParagraphFont"/>
    <w:link w:val="Quote"/>
    <w:uiPriority w:val="29"/>
    <w:rsid w:val="003152DD"/>
    <w:rPr>
      <w:i/>
      <w:iCs/>
      <w:color w:val="404040" w:themeColor="text1" w:themeTint="BF"/>
    </w:rPr>
  </w:style>
  <w:style w:type="paragraph" w:styleId="ListParagraph">
    <w:name w:val="List Paragraph"/>
    <w:basedOn w:val="Normal"/>
    <w:uiPriority w:val="34"/>
    <w:qFormat/>
    <w:rsid w:val="003152DD"/>
    <w:pPr>
      <w:ind w:left="720"/>
      <w:contextualSpacing/>
    </w:pPr>
  </w:style>
  <w:style w:type="character" w:styleId="IntenseEmphasis">
    <w:name w:val="Intense Emphasis"/>
    <w:basedOn w:val="DefaultParagraphFont"/>
    <w:uiPriority w:val="21"/>
    <w:qFormat/>
    <w:rsid w:val="003152DD"/>
    <w:rPr>
      <w:i/>
      <w:iCs/>
      <w:color w:val="0F4761" w:themeColor="accent1" w:themeShade="BF"/>
    </w:rPr>
  </w:style>
  <w:style w:type="paragraph" w:styleId="IntenseQuote">
    <w:name w:val="Intense Quote"/>
    <w:basedOn w:val="Normal"/>
    <w:next w:val="Normal"/>
    <w:link w:val="IntenseQuoteChar"/>
    <w:uiPriority w:val="30"/>
    <w:qFormat/>
    <w:rsid w:val="0031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2DD"/>
    <w:rPr>
      <w:i/>
      <w:iCs/>
      <w:color w:val="0F4761" w:themeColor="accent1" w:themeShade="BF"/>
    </w:rPr>
  </w:style>
  <w:style w:type="character" w:styleId="IntenseReference">
    <w:name w:val="Intense Reference"/>
    <w:basedOn w:val="DefaultParagraphFont"/>
    <w:uiPriority w:val="32"/>
    <w:qFormat/>
    <w:rsid w:val="003152DD"/>
    <w:rPr>
      <w:b/>
      <w:bCs/>
      <w:smallCaps/>
      <w:color w:val="0F4761" w:themeColor="accent1" w:themeShade="BF"/>
      <w:spacing w:val="5"/>
    </w:rPr>
  </w:style>
  <w:style w:type="character" w:styleId="Hyperlink">
    <w:name w:val="Hyperlink"/>
    <w:basedOn w:val="DefaultParagraphFont"/>
    <w:uiPriority w:val="99"/>
    <w:unhideWhenUsed/>
    <w:rsid w:val="008A7356"/>
    <w:rPr>
      <w:color w:val="467886" w:themeColor="hyperlink"/>
      <w:u w:val="single"/>
    </w:rPr>
  </w:style>
  <w:style w:type="character" w:styleId="UnresolvedMention">
    <w:name w:val="Unresolved Mention"/>
    <w:basedOn w:val="DefaultParagraphFont"/>
    <w:uiPriority w:val="99"/>
    <w:semiHidden/>
    <w:unhideWhenUsed/>
    <w:rsid w:val="008A7356"/>
    <w:rPr>
      <w:color w:val="605E5C"/>
      <w:shd w:val="clear" w:color="auto" w:fill="E1DFDD"/>
    </w:rPr>
  </w:style>
  <w:style w:type="character" w:styleId="FollowedHyperlink">
    <w:name w:val="FollowedHyperlink"/>
    <w:basedOn w:val="DefaultParagraphFont"/>
    <w:uiPriority w:val="99"/>
    <w:semiHidden/>
    <w:unhideWhenUsed/>
    <w:rsid w:val="008A7356"/>
    <w:rPr>
      <w:color w:val="96607D" w:themeColor="followedHyperlink"/>
      <w:u w:val="single"/>
    </w:rPr>
  </w:style>
  <w:style w:type="paragraph" w:styleId="Header">
    <w:name w:val="header"/>
    <w:basedOn w:val="Normal"/>
    <w:link w:val="HeaderChar"/>
    <w:uiPriority w:val="99"/>
    <w:unhideWhenUsed/>
    <w:rsid w:val="00BE09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0917"/>
  </w:style>
  <w:style w:type="paragraph" w:styleId="Footer">
    <w:name w:val="footer"/>
    <w:basedOn w:val="Normal"/>
    <w:link w:val="FooterChar"/>
    <w:uiPriority w:val="99"/>
    <w:unhideWhenUsed/>
    <w:rsid w:val="00BE09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2-07769-1_4" TargetMode="External"/><Relationship Id="rId3" Type="http://schemas.openxmlformats.org/officeDocument/2006/relationships/settings" Target="settings.xml"/><Relationship Id="rId7" Type="http://schemas.openxmlformats.org/officeDocument/2006/relationships/hyperlink" Target="https://10.1080/08856257.2019.16076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Simoni Symeonidou</dc:creator>
  <cp:keywords/>
  <dc:description/>
  <cp:lastModifiedBy>Simoni Symeonidou</cp:lastModifiedBy>
  <cp:revision>3</cp:revision>
  <cp:lastPrinted>2026-07-03T13:26:00Z</cp:lastPrinted>
  <dcterms:created xsi:type="dcterms:W3CDTF">2026-07-03T12:03:00Z</dcterms:created>
  <dcterms:modified xsi:type="dcterms:W3CDTF">2026-07-03T13:28:00Z</dcterms:modified>
</cp:coreProperties>
</file>